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48B" w:rsidRPr="00DE464A" w:rsidRDefault="0074548B" w:rsidP="0074548B">
      <w:pPr>
        <w:pStyle w:val="BodyText"/>
        <w:rPr>
          <w:szCs w:val="24"/>
          <w:lang w:val="ru-RU"/>
        </w:rPr>
      </w:pPr>
      <w:bookmarkStart w:id="0" w:name="_GoBack"/>
      <w:bookmarkEnd w:id="0"/>
    </w:p>
    <w:p w:rsidR="0074548B" w:rsidRPr="00DE464A" w:rsidRDefault="0074548B" w:rsidP="0074548B">
      <w:pPr>
        <w:rPr>
          <w:rFonts w:ascii="Times New Roman" w:hAnsi="Times New Roman"/>
          <w:sz w:val="24"/>
          <w:szCs w:val="24"/>
          <w:u w:val="single"/>
        </w:rPr>
      </w:pPr>
      <w:r w:rsidRPr="00DE464A">
        <w:rPr>
          <w:rFonts w:ascii="Times New Roman" w:eastAsia="Times New Roman" w:hAnsi="Times New Roman"/>
          <w:sz w:val="24"/>
          <w:szCs w:val="24"/>
          <w:u w:val="single"/>
          <w:lang w:bidi="ru-RU"/>
        </w:rPr>
        <w:t xml:space="preserve">О ГАРАНТИРОВАННОЙ ВЫПЛАТЕ ВОЗМЕЩЕНИЯ ВКЛАДЧИКАМ ABLV Bank AS </w:t>
      </w:r>
    </w:p>
    <w:p w:rsidR="0074548B" w:rsidRPr="00DE464A" w:rsidRDefault="0074548B" w:rsidP="0074548B">
      <w:pPr>
        <w:rPr>
          <w:rFonts w:ascii="Times New Roman" w:hAnsi="Times New Roman"/>
          <w:sz w:val="24"/>
          <w:szCs w:val="24"/>
          <w:u w:val="single"/>
        </w:rPr>
      </w:pPr>
      <w:r w:rsidRPr="00DE464A">
        <w:rPr>
          <w:szCs w:val="24"/>
          <w:lang w:bidi="ru-RU"/>
        </w:rPr>
        <w:t>ПУБЛИКУЕМАЯ ЧАСТЬ</w:t>
      </w:r>
    </w:p>
    <w:p w:rsidR="0074548B" w:rsidRPr="00DE464A" w:rsidRDefault="0074548B" w:rsidP="0074548B">
      <w:pPr>
        <w:pStyle w:val="Adrese"/>
        <w:jc w:val="both"/>
        <w:rPr>
          <w:szCs w:val="24"/>
          <w:lang w:val="ru-RU"/>
        </w:rPr>
      </w:pPr>
      <w:r w:rsidRPr="00DE464A">
        <w:rPr>
          <w:szCs w:val="24"/>
          <w:lang w:val="ru-RU" w:bidi="ru-RU"/>
        </w:rPr>
        <w:t>Совет Комиссии рынка финансов и капитала 27.02.2018 принял решение № 45 «О гарантированной выплате возмещения вкладчикам ABLV Bank AS», которым постановил:</w:t>
      </w:r>
    </w:p>
    <w:p w:rsidR="0074548B" w:rsidRPr="00DE464A" w:rsidRDefault="0074548B" w:rsidP="0074548B">
      <w:pPr>
        <w:pStyle w:val="Adrese"/>
        <w:jc w:val="both"/>
        <w:rPr>
          <w:szCs w:val="24"/>
          <w:lang w:val="ru-RU"/>
        </w:rPr>
      </w:pPr>
    </w:p>
    <w:p w:rsidR="0074548B" w:rsidRPr="00DE464A" w:rsidRDefault="0074548B" w:rsidP="0074548B">
      <w:pPr>
        <w:jc w:val="both"/>
        <w:rPr>
          <w:rFonts w:ascii="Times New Roman" w:hAnsi="Times New Roman"/>
          <w:sz w:val="24"/>
          <w:szCs w:val="24"/>
        </w:rPr>
      </w:pPr>
      <w:r w:rsidRPr="00DE464A">
        <w:rPr>
          <w:rFonts w:ascii="Times New Roman" w:eastAsia="Times New Roman" w:hAnsi="Times New Roman"/>
          <w:sz w:val="24"/>
          <w:szCs w:val="24"/>
          <w:lang w:bidi="ru-RU"/>
        </w:rPr>
        <w:t>1. Вменить в обязанность ABLV Bank AS до 28.02.2018 перечислить на расчетный счет Комиссии в Банке Латвии сумму, необходимую для выплаты гарантированных возмещений.</w:t>
      </w:r>
    </w:p>
    <w:p w:rsidR="0074548B" w:rsidRPr="00DE464A" w:rsidRDefault="0074548B" w:rsidP="0074548B">
      <w:pPr>
        <w:spacing w:line="240" w:lineRule="auto"/>
        <w:jc w:val="both"/>
        <w:rPr>
          <w:rFonts w:ascii="Times New Roman" w:hAnsi="Times New Roman"/>
          <w:color w:val="2F2F2F"/>
          <w:sz w:val="24"/>
          <w:szCs w:val="24"/>
          <w:lang w:eastAsia="lv-LV"/>
        </w:rPr>
      </w:pPr>
      <w:r w:rsidRPr="00DE464A">
        <w:rPr>
          <w:rFonts w:ascii="Times New Roman" w:eastAsia="Times New Roman" w:hAnsi="Times New Roman"/>
          <w:sz w:val="24"/>
          <w:szCs w:val="24"/>
          <w:lang w:bidi="ru-RU"/>
        </w:rPr>
        <w:t>2. Констатировать, что акционерное общество AS Citadele banka соответствует требованиям, предъявляемым частью четвертой статьи 25 закона «О гарантиях по вкладам» и получает право заключить с Комиссией договор о выплате гарантированных возмещений вкладчикам ABLV Bank AS, которые, согласно положениям закона «О гарантиях по вкладам», имеют право на гарантированное возмещение.</w:t>
      </w:r>
    </w:p>
    <w:p w:rsidR="0074548B" w:rsidRPr="00DE464A" w:rsidRDefault="0074548B" w:rsidP="0074548B">
      <w:pPr>
        <w:tabs>
          <w:tab w:val="left" w:pos="426"/>
        </w:tabs>
        <w:jc w:val="both"/>
        <w:rPr>
          <w:rFonts w:ascii="Times New Roman" w:hAnsi="Times New Roman"/>
          <w:sz w:val="24"/>
          <w:szCs w:val="24"/>
        </w:rPr>
      </w:pPr>
      <w:r w:rsidRPr="00DE464A">
        <w:rPr>
          <w:rFonts w:ascii="Times New Roman" w:eastAsia="Times New Roman" w:hAnsi="Times New Roman"/>
          <w:sz w:val="24"/>
          <w:szCs w:val="24"/>
          <w:lang w:bidi="ru-RU"/>
        </w:rPr>
        <w:t>3. До 01.03.2018 заключить с акционерным обществом AS Citadele banka договор о выплате гарантированного возмещения вкладчикам Банка.</w:t>
      </w:r>
    </w:p>
    <w:p w:rsidR="0074548B" w:rsidRPr="00DE464A" w:rsidRDefault="0074548B" w:rsidP="0074548B">
      <w:pPr>
        <w:tabs>
          <w:tab w:val="left" w:pos="426"/>
        </w:tabs>
        <w:jc w:val="both"/>
        <w:rPr>
          <w:rFonts w:ascii="Times New Roman" w:hAnsi="Times New Roman"/>
          <w:sz w:val="24"/>
          <w:szCs w:val="24"/>
        </w:rPr>
      </w:pPr>
      <w:r w:rsidRPr="00DE464A">
        <w:rPr>
          <w:rFonts w:ascii="Times New Roman" w:eastAsia="Times New Roman" w:hAnsi="Times New Roman"/>
          <w:sz w:val="24"/>
          <w:szCs w:val="24"/>
          <w:lang w:bidi="ru-RU"/>
        </w:rPr>
        <w:t xml:space="preserve">4. Поручить акционерному обществу AS Citadele banka не позднее 07.03.2018 начать выплачивать гарантированное возмещение вкладчикам ABLV Bank AS, имеющим, согласно положениям закона «О гарантиях по вкладам», право на гарантированное возмещение на основании информации в бухгалтерских регистрах Банка на день наступления недоступности вкладов в следующем порядке: </w:t>
      </w:r>
    </w:p>
    <w:p w:rsidR="0074548B" w:rsidRPr="00DE464A" w:rsidRDefault="0074548B" w:rsidP="0074548B">
      <w:pPr>
        <w:tabs>
          <w:tab w:val="left" w:pos="426"/>
        </w:tabs>
        <w:jc w:val="both"/>
        <w:rPr>
          <w:rFonts w:ascii="Times New Roman" w:hAnsi="Times New Roman"/>
          <w:sz w:val="24"/>
          <w:szCs w:val="24"/>
        </w:rPr>
      </w:pPr>
      <w:r w:rsidRPr="00DE464A">
        <w:rPr>
          <w:rFonts w:ascii="Times New Roman" w:eastAsia="Times New Roman" w:hAnsi="Times New Roman"/>
          <w:sz w:val="24"/>
          <w:szCs w:val="24"/>
          <w:lang w:bidi="ru-RU"/>
        </w:rPr>
        <w:t>4.1. выплатить гарантированное возмещение одному вкладчику одним платежом;</w:t>
      </w:r>
    </w:p>
    <w:p w:rsidR="0074548B" w:rsidRPr="00DE464A" w:rsidRDefault="0074548B" w:rsidP="0074548B">
      <w:pPr>
        <w:tabs>
          <w:tab w:val="left" w:pos="426"/>
        </w:tabs>
        <w:jc w:val="both"/>
        <w:rPr>
          <w:rFonts w:ascii="Times New Roman" w:hAnsi="Times New Roman"/>
          <w:sz w:val="24"/>
          <w:szCs w:val="24"/>
        </w:rPr>
      </w:pPr>
      <w:r w:rsidRPr="00DE464A">
        <w:rPr>
          <w:rFonts w:ascii="Times New Roman" w:eastAsia="Times New Roman" w:hAnsi="Times New Roman"/>
          <w:sz w:val="24"/>
          <w:szCs w:val="24"/>
          <w:lang w:bidi="ru-RU"/>
        </w:rPr>
        <w:t>4.2. если размер гарантированного возмещения не превышает 1000 евро, то по выбору вкладчика выплатить его наличными, удерживая за выплату комиссионную плату согласно прейскуранту на услуги акционерного общества AS Citadele banka;</w:t>
      </w:r>
    </w:p>
    <w:p w:rsidR="0074548B" w:rsidRPr="00DE464A" w:rsidRDefault="0074548B" w:rsidP="0074548B">
      <w:pPr>
        <w:tabs>
          <w:tab w:val="left" w:pos="426"/>
        </w:tabs>
        <w:jc w:val="both"/>
        <w:rPr>
          <w:rFonts w:ascii="Times New Roman" w:hAnsi="Times New Roman"/>
          <w:sz w:val="24"/>
          <w:szCs w:val="24"/>
        </w:rPr>
      </w:pPr>
      <w:r w:rsidRPr="00DE464A">
        <w:rPr>
          <w:rFonts w:ascii="Times New Roman" w:eastAsia="Times New Roman" w:hAnsi="Times New Roman"/>
          <w:sz w:val="24"/>
          <w:szCs w:val="24"/>
          <w:lang w:bidi="ru-RU"/>
        </w:rPr>
        <w:t>4.3. если размер гарантированного возмещения превышает 1000 евро, выплатить его перечислением на указанный самим вкладчиком расчетный счет, удерживая за перечисление комиссионную плату согласно прейскуранту на услуги акционерного общества AS Citadele banka (если она предусмотрена);</w:t>
      </w:r>
    </w:p>
    <w:p w:rsidR="0074548B" w:rsidRPr="00DE464A" w:rsidRDefault="0074548B" w:rsidP="0074548B">
      <w:pPr>
        <w:tabs>
          <w:tab w:val="left" w:pos="426"/>
        </w:tabs>
        <w:jc w:val="both"/>
        <w:rPr>
          <w:rFonts w:ascii="Times New Roman" w:hAnsi="Times New Roman"/>
          <w:sz w:val="24"/>
          <w:szCs w:val="24"/>
        </w:rPr>
      </w:pPr>
      <w:r w:rsidRPr="00DE464A">
        <w:rPr>
          <w:rFonts w:ascii="Times New Roman" w:eastAsia="Times New Roman" w:hAnsi="Times New Roman"/>
          <w:sz w:val="24"/>
          <w:szCs w:val="24"/>
          <w:lang w:bidi="ru-RU"/>
        </w:rPr>
        <w:lastRenderedPageBreak/>
        <w:t>4.4. заявления о выплате гарантированного возмещения принимать в акционерном обществе AS Citadele banka и его филиалах: Citadele (г. Рига, площадь Републикас, 2а), Laimdota (г. Рига, ул. Кришьяня Барона, 20–1), центре обслуживания клиентов MOLS (г. Рига, ул. Краста, 46), центре обслуживания клиентов Skanste (г. Рига, ул. Сканстес, 50) и Юрмальском филиале (г. Юрмала, ул. Йомас, 30) в их рабочее время.</w:t>
      </w:r>
    </w:p>
    <w:p w:rsidR="0074548B" w:rsidRPr="00DE464A" w:rsidRDefault="0074548B" w:rsidP="0074548B">
      <w:pPr>
        <w:tabs>
          <w:tab w:val="left" w:pos="426"/>
        </w:tabs>
        <w:jc w:val="both"/>
        <w:rPr>
          <w:rFonts w:ascii="Times New Roman" w:hAnsi="Times New Roman"/>
          <w:sz w:val="24"/>
          <w:szCs w:val="24"/>
        </w:rPr>
      </w:pPr>
      <w:r w:rsidRPr="00DE464A">
        <w:rPr>
          <w:rFonts w:ascii="Times New Roman" w:eastAsia="Times New Roman" w:hAnsi="Times New Roman"/>
          <w:sz w:val="24"/>
          <w:szCs w:val="24"/>
          <w:lang w:bidi="ru-RU"/>
        </w:rPr>
        <w:t>5. Поручить ABLV Bank AS 01.03.2018 подать Комиссии исправленный список вкладчиков по состоянию на 18:00 28.02.2018, в котором отражены зачеты, произведенные после  00:00 24.02.2018.</w:t>
      </w:r>
    </w:p>
    <w:p w:rsidR="0074548B" w:rsidRPr="00DE464A" w:rsidRDefault="0074548B" w:rsidP="0074548B">
      <w:pPr>
        <w:jc w:val="both"/>
        <w:rPr>
          <w:rFonts w:ascii="Times New Roman" w:hAnsi="Times New Roman"/>
          <w:bCs/>
          <w:color w:val="000000"/>
          <w:sz w:val="24"/>
          <w:szCs w:val="24"/>
        </w:rPr>
      </w:pPr>
      <w:r w:rsidRPr="00DE464A">
        <w:rPr>
          <w:rFonts w:ascii="Times New Roman" w:eastAsia="Times New Roman" w:hAnsi="Times New Roman"/>
          <w:sz w:val="24"/>
          <w:szCs w:val="24"/>
          <w:lang w:bidi="ru-RU"/>
        </w:rPr>
        <w:t>6. Согласно части шестой статьи 25 закона «О гарантиях по вкладам» опубликовать информацию о порядке, времени и месте выплаты гарантированного возмещения в газете «Латвияс Вестнесис».</w:t>
      </w:r>
    </w:p>
    <w:p w:rsidR="0074548B" w:rsidRPr="00DE464A" w:rsidRDefault="0074548B" w:rsidP="0074548B">
      <w:pPr>
        <w:jc w:val="both"/>
        <w:rPr>
          <w:rFonts w:ascii="Times New Roman" w:hAnsi="Times New Roman"/>
          <w:bCs/>
          <w:color w:val="000000"/>
          <w:sz w:val="24"/>
          <w:szCs w:val="24"/>
        </w:rPr>
      </w:pPr>
      <w:r w:rsidRPr="00DE464A">
        <w:rPr>
          <w:rFonts w:ascii="Times New Roman" w:eastAsia="Times New Roman" w:hAnsi="Times New Roman"/>
          <w:color w:val="000000"/>
          <w:sz w:val="24"/>
          <w:szCs w:val="24"/>
          <w:lang w:bidi="ru-RU"/>
        </w:rPr>
        <w:t>7. Направить данное решение ABLV Bank AS и акционерному обществу AS Citadele banka.</w:t>
      </w:r>
    </w:p>
    <w:p w:rsidR="0074548B" w:rsidRPr="00DE464A" w:rsidRDefault="0074548B" w:rsidP="0074548B">
      <w:pPr>
        <w:spacing w:after="0" w:line="240" w:lineRule="auto"/>
        <w:jc w:val="both"/>
        <w:rPr>
          <w:rFonts w:ascii="Times New Roman" w:hAnsi="Times New Roman"/>
          <w:sz w:val="24"/>
          <w:szCs w:val="24"/>
        </w:rPr>
      </w:pPr>
      <w:r w:rsidRPr="00DE464A">
        <w:rPr>
          <w:rFonts w:ascii="Times New Roman" w:eastAsia="Times New Roman" w:hAnsi="Times New Roman"/>
          <w:sz w:val="24"/>
          <w:szCs w:val="24"/>
          <w:lang w:bidi="ru-RU"/>
        </w:rPr>
        <w:t>Согласно статье 32 закона «О гарантиях по вкладам» и части второй статьи 76 Административно-процессуального закона настоящий административный акт можно оспорить в Комиссии рынка финансов и капитала или согласно части второй статьи 188 Административно-процессуального закона подать заявление об обжаловании административного акта, изданного Комиссией рынка финансов и капитала, в Административный окружной суд (ул. Балдонес, 1а, г. Рига).</w:t>
      </w:r>
    </w:p>
    <w:p w:rsidR="0074548B" w:rsidRPr="00DE464A" w:rsidRDefault="0074548B" w:rsidP="0074548B">
      <w:pPr>
        <w:spacing w:after="0" w:line="240" w:lineRule="auto"/>
        <w:jc w:val="both"/>
        <w:rPr>
          <w:rFonts w:ascii="Times New Roman" w:hAnsi="Times New Roman"/>
          <w:sz w:val="24"/>
          <w:szCs w:val="24"/>
        </w:rPr>
      </w:pPr>
    </w:p>
    <w:p w:rsidR="0074548B" w:rsidRPr="00DE464A" w:rsidRDefault="0074548B" w:rsidP="0074548B">
      <w:pPr>
        <w:spacing w:after="0" w:line="240" w:lineRule="auto"/>
        <w:jc w:val="both"/>
        <w:rPr>
          <w:rFonts w:ascii="Times New Roman" w:hAnsi="Times New Roman"/>
          <w:sz w:val="24"/>
          <w:szCs w:val="24"/>
        </w:rPr>
      </w:pPr>
      <w:r w:rsidRPr="00DE464A">
        <w:rPr>
          <w:rFonts w:ascii="Times New Roman" w:eastAsia="Times New Roman" w:hAnsi="Times New Roman"/>
          <w:sz w:val="24"/>
          <w:szCs w:val="24"/>
          <w:lang w:bidi="ru-RU"/>
        </w:rPr>
        <w:t>Согласно части седьмой статьи 25 закона «О гарантиях по вкладам» обжалование настоящего административного акта не останавливает его действие.</w:t>
      </w:r>
    </w:p>
    <w:p w:rsidR="0074548B" w:rsidRPr="00DE464A" w:rsidRDefault="0074548B" w:rsidP="0074548B">
      <w:pPr>
        <w:spacing w:after="0" w:line="240" w:lineRule="auto"/>
        <w:jc w:val="both"/>
        <w:rPr>
          <w:rFonts w:ascii="Times New Roman" w:hAnsi="Times New Roman"/>
          <w:sz w:val="24"/>
          <w:szCs w:val="24"/>
        </w:rPr>
      </w:pPr>
    </w:p>
    <w:p w:rsidR="0074548B" w:rsidRPr="00DE464A" w:rsidRDefault="0074548B" w:rsidP="0074548B">
      <w:pPr>
        <w:tabs>
          <w:tab w:val="left" w:pos="6510"/>
        </w:tabs>
        <w:jc w:val="both"/>
        <w:rPr>
          <w:rFonts w:ascii="Times New Roman" w:hAnsi="Times New Roman"/>
          <w:sz w:val="24"/>
          <w:szCs w:val="24"/>
        </w:rPr>
      </w:pPr>
      <w:r w:rsidRPr="00DE464A">
        <w:rPr>
          <w:rFonts w:ascii="Times New Roman" w:eastAsia="Times New Roman" w:hAnsi="Times New Roman"/>
          <w:sz w:val="24"/>
          <w:szCs w:val="24"/>
          <w:lang w:bidi="ru-RU"/>
        </w:rPr>
        <w:t>Согласно положениям статьи 31 закона «О гарантиях по вкладам» жалобы в связи с признанием лица вкладчиком, которому выплачивается гарантированное возмещение, а также размером гарантированного возмещения и сроками его выплаты рассматривает Комиссия рынка финансов и капитала (ул. Кунгу, 1, г. Рига, LV-1050).</w:t>
      </w:r>
    </w:p>
    <w:p w:rsidR="0074548B" w:rsidRPr="00DE464A" w:rsidRDefault="0074548B" w:rsidP="0074548B">
      <w:pPr>
        <w:spacing w:after="0" w:line="240" w:lineRule="auto"/>
        <w:jc w:val="both"/>
        <w:rPr>
          <w:rFonts w:ascii="Times New Roman" w:hAnsi="Times New Roman"/>
          <w:sz w:val="24"/>
          <w:szCs w:val="24"/>
        </w:rPr>
      </w:pPr>
    </w:p>
    <w:p w:rsidR="0074548B" w:rsidRPr="00DE464A" w:rsidRDefault="0074548B" w:rsidP="0074548B">
      <w:pPr>
        <w:spacing w:after="0" w:line="240" w:lineRule="auto"/>
        <w:jc w:val="both"/>
        <w:rPr>
          <w:rFonts w:ascii="Times New Roman" w:hAnsi="Times New Roman"/>
          <w:sz w:val="24"/>
          <w:szCs w:val="24"/>
        </w:rPr>
      </w:pPr>
      <w:r w:rsidRPr="00DE464A">
        <w:rPr>
          <w:rFonts w:ascii="Times New Roman" w:eastAsia="Times New Roman" w:hAnsi="Times New Roman"/>
          <w:sz w:val="24"/>
          <w:szCs w:val="24"/>
          <w:lang w:bidi="ru-RU"/>
        </w:rPr>
        <w:t xml:space="preserve">Председатель Комиссии </w:t>
      </w:r>
    </w:p>
    <w:p w:rsidR="0074548B" w:rsidRPr="00DE464A" w:rsidRDefault="0074548B" w:rsidP="0074548B">
      <w:pPr>
        <w:spacing w:after="0" w:line="240" w:lineRule="auto"/>
        <w:jc w:val="both"/>
        <w:rPr>
          <w:rFonts w:ascii="Times New Roman" w:hAnsi="Times New Roman"/>
          <w:sz w:val="24"/>
          <w:szCs w:val="24"/>
        </w:rPr>
      </w:pPr>
      <w:r w:rsidRPr="00DE464A">
        <w:rPr>
          <w:rFonts w:ascii="Times New Roman" w:eastAsia="Times New Roman" w:hAnsi="Times New Roman"/>
          <w:sz w:val="24"/>
          <w:szCs w:val="24"/>
          <w:lang w:bidi="ru-RU"/>
        </w:rPr>
        <w:t>рынка финансов и капитала</w:t>
      </w:r>
      <w:r w:rsidRPr="00DE464A">
        <w:rPr>
          <w:rFonts w:ascii="Times New Roman" w:eastAsia="Times New Roman" w:hAnsi="Times New Roman"/>
          <w:sz w:val="24"/>
          <w:szCs w:val="24"/>
          <w:lang w:bidi="ru-RU"/>
        </w:rPr>
        <w:tab/>
      </w:r>
      <w:r w:rsidRPr="00DE464A">
        <w:rPr>
          <w:rFonts w:ascii="Times New Roman" w:eastAsia="Times New Roman" w:hAnsi="Times New Roman"/>
          <w:sz w:val="24"/>
          <w:szCs w:val="24"/>
          <w:lang w:bidi="ru-RU"/>
        </w:rPr>
        <w:tab/>
      </w:r>
      <w:r w:rsidRPr="00DE464A">
        <w:rPr>
          <w:rFonts w:ascii="Times New Roman" w:eastAsia="Times New Roman" w:hAnsi="Times New Roman"/>
          <w:sz w:val="24"/>
          <w:szCs w:val="24"/>
          <w:lang w:bidi="ru-RU"/>
        </w:rPr>
        <w:tab/>
      </w:r>
      <w:r w:rsidRPr="00DE464A">
        <w:rPr>
          <w:rFonts w:ascii="Times New Roman" w:eastAsia="Times New Roman" w:hAnsi="Times New Roman"/>
          <w:sz w:val="24"/>
          <w:szCs w:val="24"/>
          <w:lang w:bidi="ru-RU"/>
        </w:rPr>
        <w:tab/>
        <w:t xml:space="preserve">             </w:t>
      </w:r>
      <w:r w:rsidRPr="00DE464A">
        <w:rPr>
          <w:rFonts w:ascii="Times New Roman" w:eastAsia="Times New Roman" w:hAnsi="Times New Roman"/>
          <w:sz w:val="24"/>
          <w:szCs w:val="24"/>
          <w:lang w:bidi="ru-RU"/>
        </w:rPr>
        <w:tab/>
      </w:r>
      <w:r w:rsidRPr="00DE464A">
        <w:rPr>
          <w:rFonts w:ascii="Times New Roman" w:eastAsia="Times New Roman" w:hAnsi="Times New Roman"/>
          <w:sz w:val="24"/>
          <w:szCs w:val="24"/>
          <w:lang w:bidi="ru-RU"/>
        </w:rPr>
        <w:tab/>
      </w:r>
      <w:r w:rsidRPr="00DE464A">
        <w:rPr>
          <w:rFonts w:ascii="Times New Roman" w:eastAsia="Times New Roman" w:hAnsi="Times New Roman"/>
          <w:sz w:val="24"/>
          <w:szCs w:val="24"/>
          <w:lang w:bidi="ru-RU"/>
        </w:rPr>
        <w:tab/>
        <w:t xml:space="preserve">П. Путниньш </w:t>
      </w:r>
      <w:r w:rsidRPr="00DE464A">
        <w:rPr>
          <w:rFonts w:ascii="Times New Roman" w:eastAsia="Times New Roman" w:hAnsi="Times New Roman"/>
          <w:i/>
          <w:sz w:val="24"/>
          <w:szCs w:val="24"/>
          <w:lang w:bidi="ru-RU"/>
        </w:rPr>
        <w:t>(P. Putniņš)</w:t>
      </w:r>
    </w:p>
    <w:p w:rsidR="0074548B" w:rsidRPr="00DE464A" w:rsidRDefault="0074548B" w:rsidP="0074548B">
      <w:pPr>
        <w:spacing w:after="0" w:line="240" w:lineRule="auto"/>
        <w:jc w:val="center"/>
        <w:rPr>
          <w:rFonts w:ascii="Times New Roman" w:hAnsi="Times New Roman"/>
          <w:sz w:val="24"/>
          <w:szCs w:val="24"/>
        </w:rPr>
      </w:pPr>
      <w:r w:rsidRPr="00DE464A">
        <w:rPr>
          <w:rFonts w:ascii="Times New Roman" w:eastAsia="Times New Roman" w:hAnsi="Times New Roman"/>
          <w:sz w:val="24"/>
          <w:szCs w:val="24"/>
          <w:lang w:bidi="ru-RU"/>
        </w:rPr>
        <w:tab/>
      </w:r>
      <w:r w:rsidRPr="00DE464A">
        <w:rPr>
          <w:rFonts w:ascii="Times New Roman" w:eastAsia="Times New Roman" w:hAnsi="Times New Roman"/>
          <w:sz w:val="24"/>
          <w:szCs w:val="24"/>
          <w:lang w:bidi="ru-RU"/>
        </w:rPr>
        <w:tab/>
      </w:r>
    </w:p>
    <w:p w:rsidR="0074548B" w:rsidRPr="00DE464A" w:rsidRDefault="0074548B" w:rsidP="0074548B">
      <w:pPr>
        <w:spacing w:after="0" w:line="240" w:lineRule="auto"/>
        <w:rPr>
          <w:rFonts w:ascii="Times New Roman" w:hAnsi="Times New Roman"/>
          <w:b/>
          <w:sz w:val="20"/>
          <w:szCs w:val="20"/>
        </w:rPr>
      </w:pPr>
      <w:r w:rsidRPr="00DE464A">
        <w:rPr>
          <w:rFonts w:ascii="Times New Roman" w:eastAsia="Times New Roman" w:hAnsi="Times New Roman"/>
          <w:b/>
          <w:sz w:val="20"/>
          <w:szCs w:val="20"/>
          <w:lang w:bidi="ru-RU"/>
        </w:rPr>
        <w:t xml:space="preserve">НАСТОЯЩИЙ ДОКУМЕНТ ПОДПИСАН В ЭЛЕКТРОННОЙ ФОРМЕ </w:t>
      </w:r>
    </w:p>
    <w:p w:rsidR="0074548B" w:rsidRPr="00DE464A" w:rsidRDefault="0074548B" w:rsidP="0074548B">
      <w:pPr>
        <w:spacing w:after="0" w:line="240" w:lineRule="auto"/>
        <w:rPr>
          <w:rFonts w:ascii="Times New Roman" w:hAnsi="Times New Roman"/>
          <w:sz w:val="24"/>
          <w:szCs w:val="24"/>
        </w:rPr>
      </w:pPr>
      <w:r w:rsidRPr="00DE464A">
        <w:rPr>
          <w:rFonts w:ascii="Times New Roman" w:eastAsia="Times New Roman" w:hAnsi="Times New Roman"/>
          <w:b/>
          <w:sz w:val="20"/>
          <w:szCs w:val="20"/>
          <w:lang w:bidi="ru-RU"/>
        </w:rPr>
        <w:t>НАДЕЖНОЙ ЭЛЕКТРОННОЙ ПОДПИСЬЮ И СОДЕРЖИТ ВРЕМЕННУЮ ПЕЧАТЬ</w:t>
      </w:r>
    </w:p>
    <w:p w:rsidR="0074548B" w:rsidRPr="00DE464A" w:rsidRDefault="0074548B" w:rsidP="0074548B">
      <w:pPr>
        <w:pStyle w:val="Nobeigums"/>
        <w:rPr>
          <w:lang w:val="ru-RU"/>
        </w:rPr>
      </w:pPr>
    </w:p>
    <w:p w:rsidR="0072525D" w:rsidRPr="00DE464A" w:rsidRDefault="0072525D"/>
    <w:sectPr w:rsidR="0072525D" w:rsidRPr="00DE464A" w:rsidSect="00C90EEB">
      <w:footerReference w:type="default" r:id="rId6"/>
      <w:headerReference w:type="first" r:id="rId7"/>
      <w:footerReference w:type="first" r:id="rId8"/>
      <w:pgSz w:w="11906" w:h="16838"/>
      <w:pgMar w:top="1140" w:right="1418" w:bottom="1701" w:left="1418" w:header="56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E464A">
      <w:pPr>
        <w:spacing w:after="0" w:line="240" w:lineRule="auto"/>
      </w:pPr>
      <w:r>
        <w:separator/>
      </w:r>
    </w:p>
  </w:endnote>
  <w:endnote w:type="continuationSeparator" w:id="0">
    <w:p w:rsidR="00000000" w:rsidRDefault="00DE4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CC1" w:rsidRDefault="0074548B">
    <w:pPr>
      <w:pStyle w:val="Footer"/>
      <w:jc w:val="right"/>
    </w:pPr>
    <w:r>
      <w:rPr>
        <w:lang w:bidi="ru-RU"/>
      </w:rPr>
      <w:t xml:space="preserve">       </w:t>
    </w:r>
    <w:r w:rsidRPr="00626CC1">
      <w:rPr>
        <w:rFonts w:ascii="Times New Roman" w:eastAsia="Times New Roman" w:hAnsi="Times New Roman"/>
        <w:sz w:val="24"/>
        <w:szCs w:val="24"/>
        <w:lang w:bidi="ru-RU"/>
      </w:rPr>
      <w:fldChar w:fldCharType="begin"/>
    </w:r>
    <w:r w:rsidRPr="00626CC1">
      <w:rPr>
        <w:rFonts w:ascii="Times New Roman" w:eastAsia="Times New Roman" w:hAnsi="Times New Roman"/>
        <w:lang w:bidi="ru-RU"/>
      </w:rPr>
      <w:instrText xml:space="preserve"> PAGE </w:instrText>
    </w:r>
    <w:r w:rsidRPr="00626CC1">
      <w:rPr>
        <w:rFonts w:ascii="Times New Roman" w:eastAsia="Times New Roman" w:hAnsi="Times New Roman"/>
        <w:sz w:val="24"/>
        <w:szCs w:val="24"/>
        <w:lang w:bidi="ru-RU"/>
      </w:rPr>
      <w:fldChar w:fldCharType="separate"/>
    </w:r>
    <w:r w:rsidR="00DE464A">
      <w:rPr>
        <w:rFonts w:ascii="Times New Roman" w:eastAsia="Times New Roman" w:hAnsi="Times New Roman"/>
        <w:noProof/>
        <w:lang w:bidi="ru-RU"/>
      </w:rPr>
      <w:t>2</w:t>
    </w:r>
    <w:r w:rsidRPr="00626CC1">
      <w:rPr>
        <w:rFonts w:ascii="Times New Roman" w:eastAsia="Times New Roman" w:hAnsi="Times New Roman"/>
        <w:sz w:val="24"/>
        <w:szCs w:val="24"/>
        <w:lang w:bidi="ru-RU"/>
      </w:rPr>
      <w:fldChar w:fldCharType="end"/>
    </w:r>
    <w:r w:rsidRPr="00626CC1">
      <w:rPr>
        <w:rFonts w:ascii="Times New Roman" w:eastAsia="Times New Roman" w:hAnsi="Times New Roman"/>
        <w:lang w:bidi="ru-RU"/>
      </w:rPr>
      <w:t xml:space="preserve"> - </w:t>
    </w:r>
    <w:r w:rsidRPr="00626CC1">
      <w:rPr>
        <w:rFonts w:ascii="Times New Roman" w:eastAsia="Times New Roman" w:hAnsi="Times New Roman"/>
        <w:sz w:val="24"/>
        <w:szCs w:val="24"/>
        <w:lang w:bidi="ru-RU"/>
      </w:rPr>
      <w:fldChar w:fldCharType="begin"/>
    </w:r>
    <w:r w:rsidRPr="00626CC1">
      <w:rPr>
        <w:rFonts w:ascii="Times New Roman" w:eastAsia="Times New Roman" w:hAnsi="Times New Roman"/>
        <w:lang w:bidi="ru-RU"/>
      </w:rPr>
      <w:instrText xml:space="preserve"> NUMPAGES  </w:instrText>
    </w:r>
    <w:r w:rsidRPr="00626CC1">
      <w:rPr>
        <w:rFonts w:ascii="Times New Roman" w:eastAsia="Times New Roman" w:hAnsi="Times New Roman"/>
        <w:sz w:val="24"/>
        <w:szCs w:val="24"/>
        <w:lang w:bidi="ru-RU"/>
      </w:rPr>
      <w:fldChar w:fldCharType="separate"/>
    </w:r>
    <w:r w:rsidR="00DE464A">
      <w:rPr>
        <w:rFonts w:ascii="Times New Roman" w:eastAsia="Times New Roman" w:hAnsi="Times New Roman"/>
        <w:noProof/>
        <w:lang w:bidi="ru-RU"/>
      </w:rPr>
      <w:t>2</w:t>
    </w:r>
    <w:r w:rsidRPr="00626CC1">
      <w:rPr>
        <w:rFonts w:ascii="Times New Roman" w:eastAsia="Times New Roman" w:hAnsi="Times New Roman"/>
        <w:sz w:val="24"/>
        <w:szCs w:val="24"/>
        <w:lang w:bidi="ru-RU"/>
      </w:rPr>
      <w:fldChar w:fldCharType="end"/>
    </w:r>
  </w:p>
  <w:p w:rsidR="00C022BD" w:rsidRDefault="00DE464A" w:rsidP="00751C4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CC1" w:rsidRPr="00626CC1" w:rsidRDefault="0074548B" w:rsidP="00C022BD">
    <w:pPr>
      <w:pStyle w:val="Footer"/>
      <w:jc w:val="right"/>
      <w:rPr>
        <w:rFonts w:ascii="Times New Roman" w:hAnsi="Times New Roman"/>
        <w:sz w:val="24"/>
        <w:szCs w:val="24"/>
      </w:rPr>
    </w:pPr>
    <w:r w:rsidRPr="00626CC1">
      <w:rPr>
        <w:rFonts w:ascii="Times New Roman" w:eastAsia="Times New Roman" w:hAnsi="Times New Roman"/>
        <w:sz w:val="24"/>
        <w:szCs w:val="24"/>
        <w:lang w:bidi="ru-RU"/>
      </w:rPr>
      <w:fldChar w:fldCharType="begin"/>
    </w:r>
    <w:r w:rsidRPr="00626CC1">
      <w:rPr>
        <w:rFonts w:ascii="Times New Roman" w:eastAsia="Times New Roman" w:hAnsi="Times New Roman"/>
        <w:sz w:val="24"/>
        <w:szCs w:val="24"/>
        <w:lang w:bidi="ru-RU"/>
      </w:rPr>
      <w:instrText xml:space="preserve"> PAGE </w:instrText>
    </w:r>
    <w:r w:rsidRPr="00626CC1">
      <w:rPr>
        <w:rFonts w:ascii="Times New Roman" w:eastAsia="Times New Roman" w:hAnsi="Times New Roman"/>
        <w:sz w:val="24"/>
        <w:szCs w:val="24"/>
        <w:lang w:bidi="ru-RU"/>
      </w:rPr>
      <w:fldChar w:fldCharType="separate"/>
    </w:r>
    <w:r w:rsidR="00DE464A">
      <w:rPr>
        <w:rFonts w:ascii="Times New Roman" w:eastAsia="Times New Roman" w:hAnsi="Times New Roman"/>
        <w:noProof/>
        <w:sz w:val="24"/>
        <w:szCs w:val="24"/>
        <w:lang w:bidi="ru-RU"/>
      </w:rPr>
      <w:t>1</w:t>
    </w:r>
    <w:r w:rsidRPr="00626CC1">
      <w:rPr>
        <w:rFonts w:ascii="Times New Roman" w:eastAsia="Times New Roman" w:hAnsi="Times New Roman"/>
        <w:sz w:val="24"/>
        <w:szCs w:val="24"/>
        <w:lang w:bidi="ru-RU"/>
      </w:rPr>
      <w:fldChar w:fldCharType="end"/>
    </w:r>
    <w:r w:rsidRPr="00626CC1">
      <w:rPr>
        <w:rFonts w:ascii="Times New Roman" w:eastAsia="Times New Roman" w:hAnsi="Times New Roman"/>
        <w:sz w:val="24"/>
        <w:szCs w:val="24"/>
        <w:lang w:bidi="ru-RU"/>
      </w:rPr>
      <w:t xml:space="preserve"> - </w:t>
    </w:r>
    <w:r w:rsidRPr="00626CC1">
      <w:rPr>
        <w:rFonts w:ascii="Times New Roman" w:eastAsia="Times New Roman" w:hAnsi="Times New Roman"/>
        <w:sz w:val="24"/>
        <w:szCs w:val="24"/>
        <w:lang w:bidi="ru-RU"/>
      </w:rPr>
      <w:fldChar w:fldCharType="begin"/>
    </w:r>
    <w:r w:rsidRPr="00626CC1">
      <w:rPr>
        <w:rFonts w:ascii="Times New Roman" w:eastAsia="Times New Roman" w:hAnsi="Times New Roman"/>
        <w:sz w:val="24"/>
        <w:szCs w:val="24"/>
        <w:lang w:bidi="ru-RU"/>
      </w:rPr>
      <w:instrText xml:space="preserve"> NUMPAGES  </w:instrText>
    </w:r>
    <w:r w:rsidRPr="00626CC1">
      <w:rPr>
        <w:rFonts w:ascii="Times New Roman" w:eastAsia="Times New Roman" w:hAnsi="Times New Roman"/>
        <w:sz w:val="24"/>
        <w:szCs w:val="24"/>
        <w:lang w:bidi="ru-RU"/>
      </w:rPr>
      <w:fldChar w:fldCharType="separate"/>
    </w:r>
    <w:r w:rsidR="00DE464A">
      <w:rPr>
        <w:rFonts w:ascii="Times New Roman" w:eastAsia="Times New Roman" w:hAnsi="Times New Roman"/>
        <w:noProof/>
        <w:sz w:val="24"/>
        <w:szCs w:val="24"/>
        <w:lang w:bidi="ru-RU"/>
      </w:rPr>
      <w:t>2</w:t>
    </w:r>
    <w:r w:rsidRPr="00626CC1">
      <w:rPr>
        <w:rFonts w:ascii="Times New Roman" w:eastAsia="Times New Roman" w:hAnsi="Times New Roman"/>
        <w:sz w:val="24"/>
        <w:szCs w:val="24"/>
        <w:lang w:bidi="ru-RU"/>
      </w:rPr>
      <w:fldChar w:fldCharType="end"/>
    </w:r>
  </w:p>
  <w:p w:rsidR="00626CC1" w:rsidRPr="00626CC1" w:rsidRDefault="00DE464A">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E464A">
      <w:pPr>
        <w:spacing w:after="0" w:line="240" w:lineRule="auto"/>
      </w:pPr>
      <w:r>
        <w:separator/>
      </w:r>
    </w:p>
  </w:footnote>
  <w:footnote w:type="continuationSeparator" w:id="0">
    <w:p w:rsidR="00000000" w:rsidRDefault="00DE4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CC1" w:rsidRDefault="0074548B" w:rsidP="00626CC1">
    <w:pPr>
      <w:pStyle w:val="Header"/>
      <w:tabs>
        <w:tab w:val="clear" w:pos="4677"/>
        <w:tab w:val="clear" w:pos="9355"/>
        <w:tab w:val="right" w:pos="9639"/>
      </w:tabs>
      <w:jc w:val="center"/>
    </w:pPr>
    <w:r>
      <w:rPr>
        <w:noProof/>
        <w:lang w:val="en-GB" w:eastAsia="ja-JP"/>
      </w:rPr>
      <w:drawing>
        <wp:inline distT="0" distB="0" distL="0" distR="0">
          <wp:extent cx="5770880" cy="1785620"/>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0880" cy="1785620"/>
                  </a:xfrm>
                  <a:prstGeom prst="rect">
                    <a:avLst/>
                  </a:prstGeom>
                  <a:noFill/>
                  <a:ln>
                    <a:noFill/>
                  </a:ln>
                </pic:spPr>
              </pic:pic>
            </a:graphicData>
          </a:graphic>
        </wp:inline>
      </w:drawing>
    </w:r>
  </w:p>
  <w:p w:rsidR="00626CC1" w:rsidRDefault="00DE464A" w:rsidP="00626CC1">
    <w:pPr>
      <w:pStyle w:val="Header"/>
      <w:tabs>
        <w:tab w:val="clear" w:pos="9355"/>
        <w:tab w:val="right" w:pos="9639"/>
      </w:tabs>
      <w:jc w:val="center"/>
    </w:pPr>
  </w:p>
  <w:p w:rsidR="00626CC1" w:rsidRDefault="00DE46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48B"/>
    <w:rsid w:val="0072525D"/>
    <w:rsid w:val="0074548B"/>
    <w:rsid w:val="007D44F4"/>
    <w:rsid w:val="00DE464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CA16F-1441-4ED6-9577-D3F63047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48B"/>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48B"/>
    <w:pPr>
      <w:tabs>
        <w:tab w:val="center" w:pos="4677"/>
        <w:tab w:val="right" w:pos="9355"/>
      </w:tabs>
      <w:spacing w:after="0" w:line="240" w:lineRule="auto"/>
    </w:pPr>
  </w:style>
  <w:style w:type="character" w:customStyle="1" w:styleId="HeaderChar">
    <w:name w:val="Header Char"/>
    <w:basedOn w:val="DefaultParagraphFont"/>
    <w:link w:val="Header"/>
    <w:uiPriority w:val="99"/>
    <w:rsid w:val="0074548B"/>
    <w:rPr>
      <w:rFonts w:ascii="Calibri" w:eastAsia="Calibri" w:hAnsi="Calibri" w:cs="Times New Roman"/>
      <w:lang w:val="ru-RU"/>
    </w:rPr>
  </w:style>
  <w:style w:type="paragraph" w:styleId="Footer">
    <w:name w:val="footer"/>
    <w:basedOn w:val="Normal"/>
    <w:link w:val="FooterChar"/>
    <w:uiPriority w:val="99"/>
    <w:unhideWhenUsed/>
    <w:rsid w:val="0074548B"/>
    <w:pPr>
      <w:tabs>
        <w:tab w:val="center" w:pos="4677"/>
        <w:tab w:val="right" w:pos="9355"/>
      </w:tabs>
      <w:spacing w:after="0" w:line="240" w:lineRule="auto"/>
    </w:pPr>
  </w:style>
  <w:style w:type="character" w:customStyle="1" w:styleId="FooterChar">
    <w:name w:val="Footer Char"/>
    <w:basedOn w:val="DefaultParagraphFont"/>
    <w:link w:val="Footer"/>
    <w:uiPriority w:val="99"/>
    <w:rsid w:val="0074548B"/>
    <w:rPr>
      <w:rFonts w:ascii="Calibri" w:eastAsia="Calibri" w:hAnsi="Calibri" w:cs="Times New Roman"/>
      <w:lang w:val="ru-RU"/>
    </w:rPr>
  </w:style>
  <w:style w:type="paragraph" w:customStyle="1" w:styleId="Nobeigums">
    <w:name w:val="Nobeigums"/>
    <w:basedOn w:val="Normal"/>
    <w:rsid w:val="0074548B"/>
    <w:pPr>
      <w:spacing w:after="0" w:line="240" w:lineRule="auto"/>
    </w:pPr>
    <w:rPr>
      <w:rFonts w:ascii="Times New Roman" w:eastAsia="Times New Roman" w:hAnsi="Times New Roman"/>
      <w:sz w:val="24"/>
      <w:szCs w:val="20"/>
      <w:lang w:val="en-US"/>
    </w:rPr>
  </w:style>
  <w:style w:type="paragraph" w:styleId="BodyText">
    <w:name w:val="Body Text"/>
    <w:basedOn w:val="Normal"/>
    <w:link w:val="BodyTextChar"/>
    <w:rsid w:val="0074548B"/>
    <w:pPr>
      <w:suppressAutoHyphens/>
      <w:spacing w:after="0" w:line="240" w:lineRule="auto"/>
      <w:jc w:val="both"/>
    </w:pPr>
    <w:rPr>
      <w:rFonts w:ascii="Times New Roman" w:eastAsia="Times New Roman" w:hAnsi="Times New Roman"/>
      <w:sz w:val="24"/>
      <w:szCs w:val="20"/>
      <w:lang w:val="x-none" w:eastAsia="ar-SA"/>
    </w:rPr>
  </w:style>
  <w:style w:type="character" w:customStyle="1" w:styleId="BodyTextChar">
    <w:name w:val="Body Text Char"/>
    <w:basedOn w:val="DefaultParagraphFont"/>
    <w:link w:val="BodyText"/>
    <w:rsid w:val="0074548B"/>
    <w:rPr>
      <w:rFonts w:ascii="Times New Roman" w:eastAsia="Times New Roman" w:hAnsi="Times New Roman" w:cs="Times New Roman"/>
      <w:sz w:val="24"/>
      <w:szCs w:val="20"/>
      <w:lang w:val="x-none" w:eastAsia="ar-SA"/>
    </w:rPr>
  </w:style>
  <w:style w:type="paragraph" w:styleId="BalloonText">
    <w:name w:val="Balloon Text"/>
    <w:basedOn w:val="Normal"/>
    <w:link w:val="BalloonTextChar"/>
    <w:uiPriority w:val="99"/>
    <w:semiHidden/>
    <w:unhideWhenUsed/>
    <w:rsid w:val="00745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48B"/>
    <w:rPr>
      <w:rFonts w:ascii="Tahoma" w:eastAsia="Calibri" w:hAnsi="Tahoma" w:cs="Tahoma"/>
      <w:sz w:val="16"/>
      <w:szCs w:val="16"/>
      <w:lang w:val="ru-RU"/>
    </w:rPr>
  </w:style>
  <w:style w:type="paragraph" w:customStyle="1" w:styleId="Adrese">
    <w:name w:val="Adrese"/>
    <w:basedOn w:val="Normal"/>
    <w:rsid w:val="0074548B"/>
    <w:pPr>
      <w:spacing w:after="0" w:line="240" w:lineRule="auto"/>
    </w:pPr>
    <w:rPr>
      <w:rFonts w:ascii="Times New Roman" w:eastAsia="Times New Roman" w:hAnsi="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Licite</dc:creator>
  <cp:lastModifiedBy>Ivars</cp:lastModifiedBy>
  <cp:revision>2</cp:revision>
  <dcterms:created xsi:type="dcterms:W3CDTF">2018-03-02T10:20:00Z</dcterms:created>
  <dcterms:modified xsi:type="dcterms:W3CDTF">2018-03-02T13:11:00Z</dcterms:modified>
</cp:coreProperties>
</file>